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1F" w:rsidRPr="001E3948" w:rsidRDefault="000B071F" w:rsidP="000B071F">
      <w:pPr>
        <w:pBdr>
          <w:bottom w:val="single" w:sz="12" w:space="4" w:color="005A84"/>
        </w:pBdr>
        <w:shd w:val="clear" w:color="auto" w:fill="FFFFFF"/>
        <w:spacing w:after="195" w:line="300" w:lineRule="atLeast"/>
        <w:outlineLvl w:val="0"/>
        <w:rPr>
          <w:rFonts w:ascii="Arial" w:eastAsia="Times New Roman" w:hAnsi="Arial" w:cs="Arial"/>
          <w:b/>
          <w:bCs/>
          <w:color w:val="005A84"/>
          <w:kern w:val="36"/>
          <w:sz w:val="26"/>
          <w:szCs w:val="26"/>
          <w:lang w:eastAsia="en-GB"/>
        </w:rPr>
      </w:pPr>
      <w:r w:rsidRPr="001E3948">
        <w:rPr>
          <w:rFonts w:ascii="Arial" w:eastAsia="Times New Roman" w:hAnsi="Arial" w:cs="Arial"/>
          <w:b/>
          <w:bCs/>
          <w:color w:val="005A84"/>
          <w:kern w:val="36"/>
          <w:sz w:val="26"/>
          <w:szCs w:val="26"/>
          <w:lang w:eastAsia="en-GB"/>
        </w:rPr>
        <w:t xml:space="preserve">Corporate </w:t>
      </w:r>
      <w:r>
        <w:rPr>
          <w:rFonts w:ascii="Arial" w:eastAsia="Times New Roman" w:hAnsi="Arial" w:cs="Arial"/>
          <w:b/>
          <w:bCs/>
          <w:color w:val="005A84"/>
          <w:kern w:val="36"/>
          <w:sz w:val="26"/>
          <w:szCs w:val="26"/>
          <w:lang w:eastAsia="en-GB"/>
        </w:rPr>
        <w:t xml:space="preserve">and Financial Planning </w:t>
      </w:r>
    </w:p>
    <w:p w:rsidR="000B071F" w:rsidRPr="001E3948" w:rsidRDefault="000B071F" w:rsidP="000B071F">
      <w:pPr>
        <w:shd w:val="clear" w:color="auto" w:fill="FFFFFF"/>
        <w:spacing w:after="210" w:line="270" w:lineRule="atLeast"/>
        <w:rPr>
          <w:rFonts w:ascii="Arial" w:hAnsi="Arial" w:cs="Arial"/>
          <w:color w:val="808080" w:themeColor="background1" w:themeShade="80"/>
          <w:sz w:val="20"/>
          <w:szCs w:val="20"/>
          <w:shd w:val="clear" w:color="auto" w:fill="FFFFFF"/>
        </w:rPr>
      </w:pPr>
      <w:r w:rsidRPr="009A1311">
        <w:rPr>
          <w:rFonts w:ascii="Arial" w:hAnsi="Arial" w:cs="Arial"/>
          <w:bCs/>
          <w:color w:val="808080" w:themeColor="background1" w:themeShade="80"/>
          <w:sz w:val="20"/>
          <w:szCs w:val="20"/>
          <w:shd w:val="clear" w:color="auto" w:fill="FFFFFF"/>
        </w:rPr>
        <w:t>Corporate finance</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color w:val="808080" w:themeColor="background1" w:themeShade="80"/>
          <w:sz w:val="20"/>
          <w:szCs w:val="20"/>
          <w:shd w:val="clear" w:color="auto" w:fill="FFFFFF"/>
        </w:rPr>
        <w:t>is the area of</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bCs/>
          <w:color w:val="808080" w:themeColor="background1" w:themeShade="80"/>
          <w:sz w:val="20"/>
          <w:szCs w:val="20"/>
          <w:shd w:val="clear" w:color="auto" w:fill="FFFFFF"/>
        </w:rPr>
        <w:t>finance</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color w:val="808080" w:themeColor="background1" w:themeShade="80"/>
          <w:sz w:val="20"/>
          <w:szCs w:val="20"/>
          <w:shd w:val="clear" w:color="auto" w:fill="FFFFFF"/>
        </w:rPr>
        <w:t>dealing with the sources of funding and the capital structure of</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bCs/>
          <w:color w:val="808080" w:themeColor="background1" w:themeShade="80"/>
          <w:sz w:val="20"/>
          <w:szCs w:val="20"/>
          <w:shd w:val="clear" w:color="auto" w:fill="FFFFFF"/>
        </w:rPr>
        <w:t>corporations</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color w:val="808080" w:themeColor="background1" w:themeShade="80"/>
          <w:sz w:val="20"/>
          <w:szCs w:val="20"/>
          <w:shd w:val="clear" w:color="auto" w:fill="FFFFFF"/>
        </w:rPr>
        <w:t>and the actions that managers or owner-managed businesses take to increase the value of the firm and the shareholders. Our team advise you the best tools and analysis to allocate</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bCs/>
          <w:color w:val="808080" w:themeColor="background1" w:themeShade="80"/>
          <w:sz w:val="20"/>
          <w:szCs w:val="20"/>
          <w:shd w:val="clear" w:color="auto" w:fill="FFFFFF"/>
        </w:rPr>
        <w:t>financial</w:t>
      </w:r>
      <w:r w:rsidRPr="009A1311">
        <w:rPr>
          <w:rStyle w:val="apple-converted-space"/>
          <w:rFonts w:ascii="Arial" w:hAnsi="Arial" w:cs="Arial"/>
          <w:color w:val="808080" w:themeColor="background1" w:themeShade="80"/>
          <w:sz w:val="20"/>
          <w:szCs w:val="20"/>
          <w:shd w:val="clear" w:color="auto" w:fill="FFFFFF"/>
        </w:rPr>
        <w:t> </w:t>
      </w:r>
      <w:r w:rsidRPr="009A1311">
        <w:rPr>
          <w:rFonts w:ascii="Arial" w:hAnsi="Arial" w:cs="Arial"/>
          <w:color w:val="808080" w:themeColor="background1" w:themeShade="80"/>
          <w:sz w:val="20"/>
          <w:szCs w:val="20"/>
          <w:shd w:val="clear" w:color="auto" w:fill="FFFFFF"/>
        </w:rPr>
        <w:t xml:space="preserve">resources. </w:t>
      </w:r>
      <w:r w:rsidRPr="009A1311">
        <w:rPr>
          <w:rFonts w:ascii="Arial" w:eastAsia="Times New Roman" w:hAnsi="Arial" w:cs="Arial"/>
          <w:color w:val="808080" w:themeColor="background1" w:themeShade="80"/>
          <w:sz w:val="20"/>
          <w:szCs w:val="20"/>
          <w:lang w:eastAsia="en-GB"/>
        </w:rPr>
        <w:t>Fajar Capital Ltd is regulated for a range of investment business activities by the Association of Chartered Certified Accountants</w:t>
      </w:r>
      <w:r w:rsidRPr="001E3948">
        <w:rPr>
          <w:rFonts w:ascii="Arial" w:eastAsia="Times New Roman" w:hAnsi="Arial" w:cs="Arial"/>
          <w:color w:val="808080" w:themeColor="background1" w:themeShade="80"/>
          <w:sz w:val="20"/>
          <w:szCs w:val="20"/>
          <w:lang w:eastAsia="en-GB"/>
        </w:rPr>
        <w:t>:</w:t>
      </w:r>
    </w:p>
    <w:p w:rsidR="000B071F" w:rsidRPr="001E3948" w:rsidRDefault="000B071F" w:rsidP="000B071F">
      <w:p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bCs/>
          <w:color w:val="808080" w:themeColor="background1" w:themeShade="80"/>
          <w:sz w:val="20"/>
          <w:szCs w:val="20"/>
          <w:bdr w:val="none" w:sz="0" w:space="0" w:color="auto" w:frame="1"/>
          <w:lang w:eastAsia="en-GB"/>
        </w:rPr>
        <w:t>Services</w:t>
      </w:r>
    </w:p>
    <w:p w:rsidR="000B071F" w:rsidRPr="009A1311" w:rsidRDefault="000B071F" w:rsidP="000B071F">
      <w:pPr>
        <w:pStyle w:val="ListParagraph"/>
        <w:numPr>
          <w:ilvl w:val="0"/>
          <w:numId w:val="1"/>
        </w:num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Valuations</w:t>
      </w:r>
    </w:p>
    <w:p w:rsidR="000B071F" w:rsidRDefault="000B071F" w:rsidP="000B071F">
      <w:pPr>
        <w:pStyle w:val="ListParagraph"/>
        <w:numPr>
          <w:ilvl w:val="0"/>
          <w:numId w:val="1"/>
        </w:num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Corporate advice &amp; growth strategy</w:t>
      </w:r>
    </w:p>
    <w:p w:rsidR="000B071F" w:rsidRDefault="000B071F" w:rsidP="000B071F">
      <w:pPr>
        <w:pStyle w:val="ListParagraph"/>
        <w:numPr>
          <w:ilvl w:val="0"/>
          <w:numId w:val="1"/>
        </w:num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Sell &amp; buy</w:t>
      </w:r>
    </w:p>
    <w:p w:rsidR="000B071F" w:rsidRDefault="000B071F" w:rsidP="000B071F">
      <w:pPr>
        <w:pStyle w:val="ListParagraph"/>
        <w:numPr>
          <w:ilvl w:val="0"/>
          <w:numId w:val="1"/>
        </w:num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Business plans and modelling</w:t>
      </w:r>
    </w:p>
    <w:p w:rsidR="000B071F" w:rsidRDefault="000B071F" w:rsidP="000B071F">
      <w:pPr>
        <w:pStyle w:val="ListParagraph"/>
        <w:numPr>
          <w:ilvl w:val="0"/>
          <w:numId w:val="1"/>
        </w:num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Transaction Services support, including due diligence reports for purchasers</w:t>
      </w:r>
    </w:p>
    <w:p w:rsidR="000B071F" w:rsidRPr="009A1311" w:rsidRDefault="000B071F" w:rsidP="000B071F">
      <w:pPr>
        <w:pStyle w:val="ListParagraph"/>
        <w:numPr>
          <w:ilvl w:val="0"/>
          <w:numId w:val="1"/>
        </w:numPr>
        <w:shd w:val="clear" w:color="auto" w:fill="FFFFFF"/>
        <w:spacing w:after="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Grant Funding</w:t>
      </w:r>
    </w:p>
    <w:p w:rsidR="000B071F" w:rsidRPr="009A1311" w:rsidRDefault="000B071F" w:rsidP="000B071F">
      <w:pPr>
        <w:shd w:val="clear" w:color="auto" w:fill="FFFFFF"/>
        <w:spacing w:after="0" w:line="270" w:lineRule="atLeast"/>
        <w:rPr>
          <w:rFonts w:ascii="Arial" w:eastAsia="Times New Roman" w:hAnsi="Arial" w:cs="Arial"/>
          <w:color w:val="808080" w:themeColor="background1" w:themeShade="80"/>
          <w:sz w:val="20"/>
          <w:szCs w:val="20"/>
          <w:lang w:eastAsia="en-GB"/>
        </w:rPr>
      </w:pPr>
    </w:p>
    <w:p w:rsidR="000B071F" w:rsidRPr="009A1311" w:rsidRDefault="000B071F" w:rsidP="000B071F">
      <w:pPr>
        <w:shd w:val="clear" w:color="auto" w:fill="FFFFFF"/>
        <w:spacing w:after="21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Below are just a few of the solutions we can assist with:</w:t>
      </w:r>
    </w:p>
    <w:p w:rsidR="000B071F" w:rsidRPr="009A1311" w:rsidRDefault="000B071F" w:rsidP="000B071F">
      <w:pPr>
        <w:numPr>
          <w:ilvl w:val="0"/>
          <w:numId w:val="2"/>
        </w:numPr>
        <w:shd w:val="clear" w:color="auto" w:fill="FFFFFF"/>
        <w:spacing w:after="0" w:line="270" w:lineRule="atLeast"/>
        <w:ind w:left="0"/>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R&amp;D grants – R&amp;D grants are awarded to micro, SME and larger companies. There are three elements that are needed to be eligible for grant funding: innovative ideas, a degree of technical risk and market potential.</w:t>
      </w:r>
    </w:p>
    <w:p w:rsidR="000B071F" w:rsidRPr="009A1311" w:rsidRDefault="000B071F" w:rsidP="000B071F">
      <w:pPr>
        <w:numPr>
          <w:ilvl w:val="0"/>
          <w:numId w:val="2"/>
        </w:numPr>
        <w:shd w:val="clear" w:color="auto" w:fill="FFFFFF"/>
        <w:spacing w:after="0" w:line="270" w:lineRule="atLeast"/>
        <w:ind w:left="0"/>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Capital grants – The £3.2bn Regional Growth Fund (RGF) supports eligible projects and programmes to create economic growth and sustainable employment. Over £800m has been awarded to small and medium sized businesses across the country since the programme began.</w:t>
      </w:r>
    </w:p>
    <w:p w:rsidR="000B071F" w:rsidRPr="009A1311" w:rsidRDefault="000B071F" w:rsidP="000B071F">
      <w:pPr>
        <w:numPr>
          <w:ilvl w:val="0"/>
          <w:numId w:val="2"/>
        </w:numPr>
        <w:shd w:val="clear" w:color="auto" w:fill="FFFFFF"/>
        <w:spacing w:after="0" w:line="270" w:lineRule="atLeast"/>
        <w:ind w:left="0"/>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Innovate UK collaborative R&amp;D grants – Innovate UK (formerly The Technology Strategy Board) collaborative projects are designed to assist industrial and research communities to work together on R&amp;D projects.</w:t>
      </w:r>
    </w:p>
    <w:p w:rsidR="000B071F" w:rsidRPr="009A1311" w:rsidRDefault="000B071F" w:rsidP="000B071F">
      <w:pPr>
        <w:numPr>
          <w:ilvl w:val="0"/>
          <w:numId w:val="2"/>
        </w:numPr>
        <w:shd w:val="clear" w:color="auto" w:fill="FFFFFF"/>
        <w:spacing w:after="0" w:line="270" w:lineRule="atLeast"/>
        <w:ind w:left="0"/>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Horizon2020 Dedicated SME Instrument (DSI) is the EU’s new programme for research and innovation. It will run from 2014 to 2020 and is the biggest EU Research and Innovation programme ever, with nearly €80 billion of funding available over seven years.</w:t>
      </w:r>
    </w:p>
    <w:p w:rsidR="000B071F" w:rsidRPr="009A1311" w:rsidRDefault="000B071F" w:rsidP="000B071F">
      <w:pPr>
        <w:numPr>
          <w:ilvl w:val="0"/>
          <w:numId w:val="2"/>
        </w:numPr>
        <w:shd w:val="clear" w:color="auto" w:fill="FFFFFF"/>
        <w:spacing w:after="0" w:line="270" w:lineRule="atLeast"/>
        <w:ind w:left="0"/>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Peer to business funding – Our peer to business funding partners offer an online marketplace where people and organisations lend directly to businesses for expansion and growth, asset purchase, working capital and cash flow finance and property development and investment.</w:t>
      </w:r>
    </w:p>
    <w:p w:rsidR="000B071F" w:rsidRPr="009A1311" w:rsidRDefault="000B071F" w:rsidP="000B071F">
      <w:pPr>
        <w:shd w:val="clear" w:color="auto" w:fill="FFFFFF"/>
        <w:spacing w:after="210" w:line="270" w:lineRule="atLeast"/>
        <w:rPr>
          <w:rFonts w:ascii="Arial" w:eastAsia="Times New Roman" w:hAnsi="Arial" w:cs="Arial"/>
          <w:color w:val="808080" w:themeColor="background1" w:themeShade="80"/>
          <w:sz w:val="20"/>
          <w:szCs w:val="20"/>
          <w:lang w:eastAsia="en-GB"/>
        </w:rPr>
      </w:pPr>
      <w:r w:rsidRPr="009A1311">
        <w:rPr>
          <w:rFonts w:ascii="Arial" w:eastAsia="Times New Roman" w:hAnsi="Arial" w:cs="Arial"/>
          <w:color w:val="808080" w:themeColor="background1" w:themeShade="80"/>
          <w:sz w:val="20"/>
          <w:szCs w:val="20"/>
          <w:lang w:eastAsia="en-GB"/>
        </w:rPr>
        <w:t>The right type of funding will depend on your specific business needs. Our specialists are always happy to discuss your requirements and after a brief meeting or telephone conversation, we will be able to advise on the most appropriate funding available</w:t>
      </w:r>
    </w:p>
    <w:p w:rsidR="0069020E" w:rsidRDefault="0069020E">
      <w:bookmarkStart w:id="0" w:name="_GoBack"/>
      <w:bookmarkEnd w:id="0"/>
    </w:p>
    <w:sectPr w:rsidR="0069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D7"/>
    <w:multiLevelType w:val="multilevel"/>
    <w:tmpl w:val="6712A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34EA4"/>
    <w:multiLevelType w:val="multilevel"/>
    <w:tmpl w:val="898E7E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F"/>
    <w:rsid w:val="000B071F"/>
    <w:rsid w:val="00186FCC"/>
    <w:rsid w:val="0069020E"/>
    <w:rsid w:val="00CB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165B9-4200-4CA1-A6A1-FCD2ECE5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71F"/>
  </w:style>
  <w:style w:type="paragraph" w:styleId="ListParagraph">
    <w:name w:val="List Paragraph"/>
    <w:basedOn w:val="Normal"/>
    <w:uiPriority w:val="34"/>
    <w:qFormat/>
    <w:rsid w:val="000B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dc:creator>
  <cp:keywords/>
  <dc:description/>
  <cp:lastModifiedBy>Fazal</cp:lastModifiedBy>
  <cp:revision>1</cp:revision>
  <dcterms:created xsi:type="dcterms:W3CDTF">2016-12-10T23:00:00Z</dcterms:created>
  <dcterms:modified xsi:type="dcterms:W3CDTF">2016-12-10T23:00:00Z</dcterms:modified>
</cp:coreProperties>
</file>