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BC" w:rsidRPr="00A84F51" w:rsidRDefault="00CD0EBC" w:rsidP="00CD0EBC">
      <w:pPr>
        <w:pBdr>
          <w:bottom w:val="single" w:sz="12" w:space="4" w:color="005A84"/>
        </w:pBdr>
        <w:shd w:val="clear" w:color="auto" w:fill="FFFFFF"/>
        <w:spacing w:after="195" w:line="300" w:lineRule="atLeast"/>
        <w:outlineLvl w:val="0"/>
        <w:rPr>
          <w:rFonts w:ascii="Arial" w:eastAsia="Times New Roman" w:hAnsi="Arial" w:cs="Arial"/>
          <w:b/>
          <w:bCs/>
          <w:color w:val="005A84"/>
          <w:kern w:val="36"/>
          <w:sz w:val="26"/>
          <w:szCs w:val="26"/>
          <w:lang w:eastAsia="en-GB"/>
        </w:rPr>
      </w:pPr>
      <w:r w:rsidRPr="00A84F51">
        <w:rPr>
          <w:rFonts w:ascii="Arial" w:eastAsia="Times New Roman" w:hAnsi="Arial" w:cs="Arial"/>
          <w:b/>
          <w:bCs/>
          <w:color w:val="005A84"/>
          <w:kern w:val="36"/>
          <w:sz w:val="26"/>
          <w:szCs w:val="26"/>
          <w:lang w:eastAsia="en-GB"/>
        </w:rPr>
        <w:t>Corporate Tax</w:t>
      </w:r>
    </w:p>
    <w:p w:rsidR="00CD0EBC" w:rsidRDefault="00CD0EBC" w:rsidP="00CD0EBC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26464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26464"/>
          <w:sz w:val="20"/>
          <w:szCs w:val="20"/>
          <w:lang w:eastAsia="en-GB"/>
        </w:rPr>
        <w:t>Fajar Capital</w:t>
      </w: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team </w:t>
      </w: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provides a </w:t>
      </w:r>
      <w:r>
        <w:rPr>
          <w:rFonts w:ascii="Arial" w:eastAsia="Times New Roman" w:hAnsi="Arial" w:cs="Arial"/>
          <w:color w:val="626464"/>
          <w:sz w:val="20"/>
          <w:szCs w:val="20"/>
          <w:lang w:eastAsia="en-GB"/>
        </w:rPr>
        <w:t>range of</w:t>
      </w: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 corporate tax </w:t>
      </w:r>
      <w:r>
        <w:rPr>
          <w:rFonts w:ascii="Arial" w:eastAsia="Times New Roman" w:hAnsi="Arial" w:cs="Arial"/>
          <w:color w:val="626464"/>
          <w:sz w:val="20"/>
          <w:szCs w:val="20"/>
          <w:lang w:eastAsia="en-GB"/>
        </w:rPr>
        <w:t>consultancy &amp; advisory service. We provide solutions based on individual business needs</w:t>
      </w: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>.</w:t>
      </w:r>
    </w:p>
    <w:p w:rsidR="00CD0EBC" w:rsidRDefault="00CD0EBC" w:rsidP="00CD0EBC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26464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26464"/>
          <w:sz w:val="20"/>
          <w:szCs w:val="20"/>
          <w:lang w:eastAsia="en-GB"/>
        </w:rPr>
        <w:t>Our approach to corporation tax advisory services is part of a total approach to financial management of the business. We prepare timely tax plan to maximise tax efficiencies and utilise all allowances given by HMRC for small and large corporations.</w:t>
      </w:r>
    </w:p>
    <w:p w:rsidR="00CD0EBC" w:rsidRPr="00A84F51" w:rsidRDefault="00CD0EBC" w:rsidP="00CD0EBC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26464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26464"/>
          <w:sz w:val="20"/>
          <w:szCs w:val="20"/>
          <w:lang w:eastAsia="en-GB"/>
        </w:rPr>
        <w:t>T</w:t>
      </w: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ax experts </w:t>
      </w:r>
      <w:r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at Fajar Capital </w:t>
      </w: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>possess the very best technical skills, supported by many years’ experience of tax planning and HM Revenue &amp; Customs (HMRC) negotiations.</w:t>
      </w:r>
    </w:p>
    <w:p w:rsidR="00CD0EBC" w:rsidRPr="00A84F51" w:rsidRDefault="00CD0EBC" w:rsidP="00CD0EBC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26464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26464"/>
          <w:sz w:val="20"/>
          <w:szCs w:val="20"/>
          <w:lang w:eastAsia="en-GB"/>
        </w:rPr>
        <w:t>C</w:t>
      </w: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orporation tax team </w:t>
      </w:r>
      <w:r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of Fajar </w:t>
      </w: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works alongside </w:t>
      </w:r>
      <w:r>
        <w:rPr>
          <w:rFonts w:ascii="Arial" w:eastAsia="Times New Roman" w:hAnsi="Arial" w:cs="Arial"/>
          <w:color w:val="626464"/>
          <w:sz w:val="20"/>
          <w:szCs w:val="20"/>
          <w:lang w:eastAsia="en-GB"/>
        </w:rPr>
        <w:t>with the</w:t>
      </w: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 personal tax </w:t>
      </w:r>
      <w:r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calculations. Corporate tax </w:t>
      </w: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planning and the </w:t>
      </w:r>
      <w:r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directors’ and shareholders’ </w:t>
      </w: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personal </w:t>
      </w:r>
      <w:r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tax </w:t>
      </w: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implications can be considered together. </w:t>
      </w:r>
      <w:r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For business </w:t>
      </w: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>entrepreneurs and owner-managers</w:t>
      </w:r>
      <w:r>
        <w:rPr>
          <w:rFonts w:ascii="Arial" w:eastAsia="Times New Roman" w:hAnsi="Arial" w:cs="Arial"/>
          <w:color w:val="626464"/>
          <w:sz w:val="20"/>
          <w:szCs w:val="20"/>
          <w:lang w:eastAsia="en-GB"/>
        </w:rPr>
        <w:t xml:space="preserve"> this is a perfect approach</w:t>
      </w: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>.</w:t>
      </w:r>
    </w:p>
    <w:p w:rsidR="00CD0EBC" w:rsidRPr="00A84F51" w:rsidRDefault="00CD0EBC" w:rsidP="00CD0EBC">
      <w:pPr>
        <w:shd w:val="clear" w:color="auto" w:fill="FFFFFF"/>
        <w:spacing w:after="210" w:line="270" w:lineRule="atLeast"/>
        <w:rPr>
          <w:rFonts w:ascii="Arial" w:eastAsia="Times New Roman" w:hAnsi="Arial" w:cs="Arial"/>
          <w:color w:val="626464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626464"/>
          <w:sz w:val="20"/>
          <w:szCs w:val="20"/>
          <w:lang w:eastAsia="en-GB"/>
        </w:rPr>
        <w:t>At Fajar we provide corporate advisory services at every stage of the business life-cycle</w:t>
      </w: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>:</w:t>
      </w:r>
    </w:p>
    <w:p w:rsidR="00CD0EBC" w:rsidRPr="00A84F51" w:rsidRDefault="00CD0EBC" w:rsidP="00CD0EB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26464"/>
          <w:sz w:val="20"/>
          <w:szCs w:val="20"/>
          <w:lang w:eastAsia="en-GB"/>
        </w:rPr>
      </w:pP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>Start-ups</w:t>
      </w:r>
    </w:p>
    <w:p w:rsidR="00CD0EBC" w:rsidRPr="00A84F51" w:rsidRDefault="00CD0EBC" w:rsidP="00CD0EB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26464"/>
          <w:sz w:val="20"/>
          <w:szCs w:val="20"/>
          <w:lang w:eastAsia="en-GB"/>
        </w:rPr>
      </w:pP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>Investment and growth</w:t>
      </w:r>
    </w:p>
    <w:p w:rsidR="00CD0EBC" w:rsidRPr="00A84F51" w:rsidRDefault="00CD0EBC" w:rsidP="00CD0EB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26464"/>
          <w:sz w:val="20"/>
          <w:szCs w:val="20"/>
          <w:lang w:eastAsia="en-GB"/>
        </w:rPr>
      </w:pP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>Acquisitions and disposals</w:t>
      </w:r>
    </w:p>
    <w:p w:rsidR="00CD0EBC" w:rsidRPr="00A84F51" w:rsidRDefault="00CD0EBC" w:rsidP="00CD0EB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26464"/>
          <w:sz w:val="20"/>
          <w:szCs w:val="20"/>
          <w:lang w:eastAsia="en-GB"/>
        </w:rPr>
      </w:pP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>Raising finance</w:t>
      </w:r>
    </w:p>
    <w:p w:rsidR="00CD0EBC" w:rsidRPr="00A84F51" w:rsidRDefault="00CD0EBC" w:rsidP="00CD0EB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626464"/>
          <w:sz w:val="20"/>
          <w:szCs w:val="20"/>
          <w:lang w:eastAsia="en-GB"/>
        </w:rPr>
      </w:pPr>
      <w:r w:rsidRPr="00A84F51">
        <w:rPr>
          <w:rFonts w:ascii="Arial" w:eastAsia="Times New Roman" w:hAnsi="Arial" w:cs="Arial"/>
          <w:color w:val="626464"/>
          <w:sz w:val="20"/>
          <w:szCs w:val="20"/>
          <w:lang w:eastAsia="en-GB"/>
        </w:rPr>
        <w:t>Succession planning</w:t>
      </w:r>
    </w:p>
    <w:p w:rsidR="0069020E" w:rsidRDefault="0069020E">
      <w:bookmarkStart w:id="0" w:name="_GoBack"/>
      <w:bookmarkEnd w:id="0"/>
    </w:p>
    <w:sectPr w:rsidR="00690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0A6"/>
    <w:multiLevelType w:val="multilevel"/>
    <w:tmpl w:val="D368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BC"/>
    <w:rsid w:val="00186FCC"/>
    <w:rsid w:val="0069020E"/>
    <w:rsid w:val="00CB4C8F"/>
    <w:rsid w:val="00C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614D6-7D88-451B-9779-1460F34B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</dc:creator>
  <cp:keywords/>
  <dc:description/>
  <cp:lastModifiedBy>Fazal</cp:lastModifiedBy>
  <cp:revision>1</cp:revision>
  <dcterms:created xsi:type="dcterms:W3CDTF">2016-12-10T22:58:00Z</dcterms:created>
  <dcterms:modified xsi:type="dcterms:W3CDTF">2016-12-10T22:59:00Z</dcterms:modified>
</cp:coreProperties>
</file>